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2007/210 vom 19. Dezember 2008</w:t>
      </w:r>
    </w:p>
    <w:p>
      <w:r>
        <w:t>Sg Versicherungsgericht, 2008-12-19, DE</w:t>
      </w:r>
    </w:p>
    <w:p>
      <w:r>
        <w:rPr>
          <w:b/>
        </w:rPr>
        <w:t xml:space="preserve">Quelle: </w:t>
      </w:r>
      <w:r>
        <w:t>https://mcp.opencaselaw.ch/entscheid/sg_publikationen_IV 2007_210</w:t>
      </w:r>
    </w:p>
    <w:p>
      <w:r>
        <w:t>FR: SG_VERSICHERUNGSGERICHT IV 2007/210 du 19 décembre 2008</w:t>
      </w:r>
    </w:p>
    <w:p>
      <w:r>
        <w:t>IT: SG_VERSICHERUNGSGERICHT IV 2007/210 del 19 dicembre 2008</w:t>
      </w:r>
    </w:p>
    <w:p>
      <w:pPr>
        <w:pStyle w:val="Heading2"/>
      </w:pPr>
      <w:r>
        <w:t>Regeste</w:t>
      </w:r>
    </w:p>
    <w:p>
      <w:r>
        <w:t>Art. 17 Abs. 1 ATSG, aArt. 41 IVG (in der bis 31. Dezember 2002 gültigen Fassung), Art. 88a Abs. 2 IVV: Rentenrevision. Höhe des Abzuges vom Tabellenlohn. Anspruch auf ganze Rente. Beginn Rentenerhöhung. Art. 17 Abs. 1 IVG: Anspruch auf berufliche Massnahmen. Rückweisung zu ergänzenden Abklärungen (Entscheid des Versicherungsgerichts des Kantons St. Gallen vom 19. Dezember 2008, IV 2007/210).</w:t>
      </w:r>
    </w:p>
    <w:p>
      <w:pPr>
        <w:pStyle w:val="Heading2"/>
      </w:pPr>
      <w:r>
        <w:t>Erwägungen</w:t>
      </w:r>
    </w:p>
    <w:p>
      <w:r>
        <w:rPr>
          <w:b/>
        </w:rPr>
        <w:t>E. 1</w:t>
      </w:r>
    </w:p>
    <w:p>
      <w:r>
        <w:t>1.1  Gemäss aArt. 28 Abs. 1 des Bundesgesetzes über die Invalidenversicherung (IVG; SR 831.20, in der bis 31. Dezember 2003 gültigen Fassung) haben Versicherte Anspruch auf eine ganze Rente, wenn sie mindestens zu 66</w:t>
      </w:r>
    </w:p>
    <w:p>
      <w:r>
        <w:rPr>
          <w:b/>
        </w:rPr>
        <w:t>E. 2</w:t>
      </w:r>
    </w:p>
    <w:p>
      <w:r>
        <w:t>/</w:t>
      </w:r>
    </w:p>
    <w:p>
      <w:r>
        <w:rPr>
          <w:b/>
        </w:rPr>
        <w:t>E. 3</w:t>
      </w:r>
    </w:p>
    <w:p>
      <w:r>
        <w:t>3.1  Die Beschwerdegegnerin stellte bei der Bestimmung des Invaliditätsgrades sowohl für das Validen- als auch für das Invalideneinkommen auf die Tabellenlöhne der LSE ab. Dieses Vorgehen ist nicht zu beanstanden und wird von der Beschwerdeführerin auch nicht bestritten. Das Bundesgericht nimmt in derartigen Fällen, wo zur Bestimmung des Validen- und Invalideneinkommens dieselbe Vergleichsgrösse herangezogen wird, einen Prozentvergleich vor. Diesfalls entspricht der Invaliditätsgrad dem Grad der Arbeitsunfähigkeit unter Berücksichtigung des Abzuges vom Tabellenlohn (Urteil des Bundesgerichts vom 9. März 2007 i.S. S., I 697/05, E. 5.4 mit Hinweis). In Anwendung eines Prozentvergleichs bleibt zur Bestimmung des Invalideneinkommens nachfolgend noch die Höhe des Abzuges vom Tabellenlohn zu prüfen (zur Überprüfungsbefugnis bezüglich der einzelnen Teilaspekte im Revisionsverfahren vgl. Urteil des Bundesgerichts vom 24. August 2007 i.S. M., 9C_237/07, E. 4 mit Hinweis). 3.2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sogenannten Leidensabzuges ist unzulässig (BGE 126 V 79 E. 5b, bestätigt in AHI 2002 S. 62 und BGE 129 V 481 E. 4.2.3 mit Hinweisen). 3.3  Während die Beschwerdegegnerin bei der erstmaligen Rentenzusprache noch einen Abzug von 10% anerkannte (act. G 7.1/28; vgl. act. G 7.1/24), berücksichtigte sie in der angefochtenen Verfügung keinen Abzug (vgl. act. G 7.1/169). Die Verweigerung eines Leidensabzuges hält einer Ermessensprüfung nicht stand. Ins Gewicht fällt vor allem, dass die Beschwerdeführerin auch in Zukunft aufgrund weiterer Hospitalisations- und längerer Rehabilitationsphasen längerfristig – wenn auch vorübergehend – zu 100% arbeitsunfähig sein wird (act. G 7.1/149.31). Zumutbar sind der Beschwerdeführerin nur noch körperlich leichte, vorwiegend eher sitzende Tätigkeiten (act. G 7.1/149.30 f.). Ferner sind allfällige Arbeitszeiten auf einen Tag aufzuteilen (2 bis 2,5 Stunden morgens und 2 bis 2,5 Stunden nachmittags) und es muss die Möglichkeit zu Bewegungs- und Positionswechsel sowie für Entlastungspausen bestehen (act. G 7.1/149.36). Nach dem Gesagten besteht selbst bei einfachen und repetitiven Tätigkeiten im Anforderungsniveau 4 nur noch ein erheblich eingeschränkter Bereich für mögliche Arbeitsplätze, was im Rahmen des Abzuges vom Tabellenlohn zu berücksichtigen ist. Erheblich lohnsenkend wirken sich auch die in Zukunft zu erwartende lange Abwesenheit vom Arbeitsmarkt aufgrund diverser stationärer medizinischer Massnahmen (vgl. act. G 7.1/149.31) aus. Die vorliegend zu beurteilenden persönlichen und beruflichen Gegebenheiten rechtfertigen den höchstzulässigen Leidensabzug von 25%. 3.4  Unter Berücksichtigung eines 25%igen Leidensabzuges resultiert in Anwendung eines Prozentvergleichs (vgl. hierzu vorstehende E. 3.1) ein Invaliditätsgrad von 70% (60% + [40% x 0.25]) und somit ein Anspruch auf eine ganze Rente. Der Beginn der Rentenerhöhung richtet sich nach Art. 88a Abs. 2 IVV. Da der Beginn der gesundheitlichen Verschlechterung auf September 2002 festzusetzen ist (vgl. vorstehende E. 2.5), hat die Beschwerdeführerin ab 1. Dezember 2002 einen Anspruch auf eine ganze Rente.</w:t>
      </w:r>
    </w:p>
    <w:p>
      <w:r>
        <w:rPr>
          <w:b/>
        </w:rPr>
        <w:t>E. 4</w:t>
      </w:r>
    </w:p>
    <w:p>
      <w:r>
        <w:t>4.1  Zu prüfen bleibt noch der allfällige Anspruch der Beschwerdeführerin auf berufliche Massnahmen. 4.2  Die gleichzeitige Zusprechung beruflicher Massnahmen und einer Rente ist nicht von vornherein ausgeschlossen. Der Grundsatz "Eingliederung vor Rente" ist insbesondere dann nicht aktuell, wenn sich der rentenbegründende Invaliditätsgrad durch (nicht von Taggeld begleitete) Eingliederungsmassnahmen nicht beeinflussen lässt (Urteil des Bundesgerichts vom 6. Mai 2008 i.S. P., 9C_494/07 E. 3.1; vgl. BGE 122 V 79 E. 3b). 4.3  Gemäss Art. 17 Abs. 1 IVG hat die versicherte Person Anspruch auf Umschulung auf eine neue Erwerbstätigkeit, wenn die Umschulung infolge Invalidität notwendig ist und dadurch die Erwerbsfähigkeit voraussichtlich erhalten oder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Erwerbstätigkeit auszuüben (BGE 122 V 79 E. 3b/bb).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mindestens etwa 20 % erleidet (Entscheide des Eidgenössischen Versicherungsgerichts [EVG; seit 1. Januar 2007: Sozialrechtliche Abteilungen des Bundesgerichts] vom 22. Januar 2004 i.S. A., I 91/03; BGE 124 V 110 f. E. 2b; AHI 2000 S. 62 E. 1). Bei ausgebildeten Personen bemisst sich die Erwerbseinbusse durch Vergleich des Einkommens, das sie in dem vor der Invalidität ausgeübten Beruf erzielen konnten, mit dem Einkommen, das sie mit Invalidität dort noch erzielen können. Bei Hilfsarbeitern und Hilfsarbeiterinnen hingegen ist es, wenn sie ihre bisherige Erwerbstätigkeit krankheits- oder unfallbedingt nicht mehr ausüben können, grundsätzlich ohne berufliche Massnahmen möglich, in eine andere, ihrer Behinderung angepasste Hilfsarbeitertätigkeit zu wechseln. Im Gegensatz zur (ganz oder teilweise) berufsunfähig gewordenen ausgebildeten versicherten Person bemisst sich die umschulungsspezifische Invalidität bei Hilfskräften nicht nach der konkreten Erwerbseinbusse am letzten Arbeitsplatz, sondern nach der Erwerbseinbusse in einer der Behinderung angepassten Hilfsarbeit. Dabei ist auf den allgemeinen und ausgeglichenen Arbeitsmarkt abzustellen, weil sonst eine konjunkturbedingte Unmöglichkeit, eine Stelle zu finden (also die Arbeitslosigkeit), in die Beurteilung der Umschulungsinvalidität einfliessen könnte (auf dem Internet publizierter Entscheid des Versicherungsgerichts des Kantons St. Gallen vom 20. Juni 2007, IV 2006/152, E. 4a). 4.4  Da die Beschwerdeführerin auch bei einer Beschäftigung zu mindestens 60% in einer behinderungsadäquaten Hilfsarbeit eine Erwerbseinbusse von weit über 20% aufweist, besteht dem Grundsatz nach (Urteil des EVG vom 14. Oktober 2004 i.S. J., I 168/04) Anspruch auf berufliche Massnahmen. 4.5  Das damalige Eidgenössische Versicherungsgericht hat den Grundsatz bestätigt, dass auch bei Hilfskräften, zu denen die Beschwerdeführerin zu zählen ist, das Verhältnismässigkeitsprinzip zu wahren ist (Urteil des EVG vom 14. Oktober 2004 i.S. J., I 168/04). Der voraussichtliche Erfolg einer Eingliederungsmassnahme muss in einem vernünftigen Verhältnis zu ihren Kosten stehen (BGE 121 V 260 E. 2c mit Hinweisen), womit unangemessen teure Ausbildungen vom Anspruch ausgeschlossen sind. Eine Umschulung, welche zu einem wesentlich höheren Einkommen führen würde, als es mit der bisherigen (Hilfs-)Tätigkeit erzielt worden wäre, fällt ebenfalls ausser Betracht (Urteil des EVG vom 30. September 2004 i.S. T., I 73/04, E. 4). Das Gleichwertigkeitsprinzip als Konkretisierung des Verhältnismässigkeitsgrundsatzes zur Anwendung zu bringen, ist bei Hilfskräften allerdings von vornherein nicht möglich. Dieses Erfordernis für sich allein schlösse einen Umschulungsanspruch eines Hilfsarbeiters aus. Mit der Finanzierung einer Berufslehre für einen Hilfsarbeiter oder eine Hilfsarbeiterin wird in jedem Fall ein Ungleichgewicht zur bisherigen Tätigkeit hergestellt. Denn bei Hilfskräften gibt es im Grunde nichts "umzuschulen" und es ist keine Vorbildung verloren gegangen wie bei gelernten Arbeitskräften, sondern es kann nur eine erstmalige Berufsausbildung in Frage stehen. Dort aber herrscht ein Mehrkostenprinzip. Es rechtfertigt sich indessen, auf die Umschulungen von Hilfskräften die Wertung bei gelernten versicherten Personen zu übertragen, die eine höherwertige Ausbildung wünschen (Entscheid des Versicherungsgerichts des Kantons St. Gallen vom 20. Juni 2007, IV 2006/152, E. 4c). Ein Anspruch auf eine höherwertige Ausbildung besteht nur, wenn die erwerblichen Auswirkungen des Gesundheitsschadens sich nur auf diese Weise hinreichend beheben lassen (ZAK 1988 S. 467; Entscheid des EVG vom 5. September 2001 i.S. A., I 202/00, E. 1b). Wiegen Art und Schwere des Gesundheitsschadens und seine beruflichen Auswirkungen derart schwer, dass auch bei Hilfsarbeitern und Hilfsarbeiterinnen nur mit einer höherwertigen Ausbildung eine angemessene Verwertung der verbliebenen Leistungsfähigkeit bzw. eine angemessene Schadensdeckung resultiert, so ist die Ausbildung geschuldet. Vorausgesetzt ist daher auch bei einer Hilfskraft, dass sie eine gewichtige Einbusse auch in jeder adaptierten sonstigen Hilfsarbeitertätigkeit erleiden würde (Entscheid des Versicherungsgerichts des Kantons St. Gallen vom 20. Juni 2007, IV 2006/152, E. 4c mit Hinweis). 4.6  Die in der Schweiz als Hilfsarbeiterin tätig gewesene Beschwerdeführerin (vgl. IK-Auszug act. G 7.1/4) hat in der Türkei 5 Jahre lang die Grundschule und 3 Jahre lang die Mittelschule besucht. Sie hat ferner die Schule für Sozialbegleitung besucht. Das Diplom erlangte sie jedoch nicht, da sie keine Diplomarbeit geschrieben hat (vgl. act. G 7.1/149.31). Die Beschwerdegegnerin machte im Vorbescheid vom 21. November 2006 keine Erwägungen bezüglich der Eingliederungsfrage (vgl. act. G 7.1/155). In der angefochtenen Verfügung lehnte sie einen Anspruch auf berufliche Massnahmen einzig mit der Behauptung ab, dass die Beschwerdeführerin als Hilfsarbeiterin zu qualifizieren sei (act. G 7.1/174). In der Beschwerdeantwort vom 7. August 2007 nahm die Beschwerdegegnerin keine Stellung zur Frage bezüglich beruflicher Massnahmen (act. G 7). Aus den Akten ergeben sich keine Anhaltspunkte für eine ernsthafte Abklärung der Frage, ob der Beschwerdeführerin berufliche Massnahmen zu gewähren sind. Vielmehr hat die Beschwerdegegnerin ihre Abklärungsbemühungen sowohl im Verwaltungs- wie auch im Beschwerdeverfahren auf die Rentenfrage beschränkt. Angesichts dessen, dass die MEDAS-Gutachter "dringend" empfahlen, die Beschwerdeführerin mittels beruflicher Massnahmen zu unterstützen (act. G 7.1/149.31; vgl. auch die Empfehlungen der B.___: act. G 7.1/49.25 f.), wäre die Beschwerdegegnerin umso mehr verpflichtet gewesen, die Frage betreffend berufliche Massnahmen einlässlich zu prüfen. Zu beachten ist dabei weiter, dass der Status als Hilfsarbeiterin – für sich allein betrachtet – den Anspruch auf berufliche Massnahmen, insbesondere auch auf Umschulungen, nicht von vornherein auszuschliessen vermag (vgl. vorstehende Ausführungen in E. 4.5). Mit ihrem Verhalten hat die Beschwerdegegnerin die ihr obliegenden Abklärungspflichten (Art. 43 Abs. 1 ATSG) verletzt, weshalb die Sache zur rechtskonformen Abklärung des Anspruchs auf berufliche Massnahmen an die Beschwerdegegnerin zurückzuweisen ist.</w:t>
      </w:r>
    </w:p>
    <w:p>
      <w:r>
        <w:rPr>
          <w:b/>
        </w:rPr>
        <w:t>E. 5</w:t>
      </w:r>
    </w:p>
    <w:p>
      <w:r>
        <w:t>5.1  Nach dem Gesagten ist in teilweiser Gutheissung der Beschwerde die angefochtene Verfügung vom 4. April 2007 aufzuheben und der Beschwerdeführerin ab 1. Dezember 2002 eine ganze Rente auszurichten. Zur Festsetzung und Berechnung der Leistungen wird die Sache an die Beschwerdegegnerin zurückgewiesen. In Bezug auf berufliche Massnahmen wird die Sache im Sinn der Erwägungen an die Beschwerdegegnerin zurückgewiesen. 5.2  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gesamten Gerichtskosten von Fr. 600.-- zu tragen. Auf die Erhebung eines Kostenvorschusses wurde aufgrund der Gewährung der unentgeltlichen Rechtspflege verzichtet, weshalb eine entsprechende Rückerstattung entfällt.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eine Parteientschädigung von Fr. 3'500.-- (inklusive Barauslagen und Mehrwertsteuer) als angemessen. Bei diesem Prozessausgang erübrigt sich die Festlegung einer Entschädigung aus unentgeltlicher Rechtsverbeiständung. Demgemäss hat das Versicherungsgericht entschieden: 1.  In teilweiser Gutheissung der Beschwerde wird die angefochtene Verfügung vom 4. April 2007 aufgehoben und der Beschwerdeführerin ab 1. Dezember 2002 eine ganze Rente zugesprochen. Zur Festsetzung und Berechnung der Leistungen wird die Sache an die Beschwerdegegnerin zurückgewiesen. 2.  In Bezug auf berufliche Massnahmen wird die Sache im Sinn der Erwägungen an die Beschwerdegegnerin zurückgewiesen. 3.  Die Beschwerdegegnerin bezahlt eine Gerichtsgebühr von Fr. 600.--. 4.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